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0D" w:rsidRDefault="00DC430D" w:rsidP="00CB12CF">
      <w:pPr>
        <w:spacing w:after="0" w:line="240" w:lineRule="auto"/>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2882951</wp:posOffset>
            </wp:positionH>
            <wp:positionV relativeFrom="paragraph">
              <wp:posOffset>-157277</wp:posOffset>
            </wp:positionV>
            <wp:extent cx="1077925" cy="855879"/>
            <wp:effectExtent l="19050" t="0" r="7925" b="0"/>
            <wp:wrapNone/>
            <wp:docPr id="4" name="Picture 1" descr="\\srv-adm\hs_faculty\jfranz\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m\hs_faculty\jfranz\Desktop\unnamed.jpg"/>
                    <pic:cNvPicPr>
                      <a:picLocks noChangeAspect="1" noChangeArrowheads="1"/>
                    </pic:cNvPicPr>
                  </pic:nvPicPr>
                  <pic:blipFill>
                    <a:blip r:embed="rId5" cstate="print">
                      <a:grayscl/>
                    </a:blip>
                    <a:srcRect/>
                    <a:stretch>
                      <a:fillRect/>
                    </a:stretch>
                  </pic:blipFill>
                  <pic:spPr bwMode="auto">
                    <a:xfrm>
                      <a:off x="0" y="0"/>
                      <a:ext cx="1077925" cy="855879"/>
                    </a:xfrm>
                    <a:prstGeom prst="rect">
                      <a:avLst/>
                    </a:prstGeom>
                    <a:noFill/>
                    <a:ln w="9525">
                      <a:noFill/>
                      <a:miter lim="800000"/>
                      <a:headEnd/>
                      <a:tailEnd/>
                    </a:ln>
                  </pic:spPr>
                </pic:pic>
              </a:graphicData>
            </a:graphic>
          </wp:anchor>
        </w:drawing>
      </w:r>
    </w:p>
    <w:p w:rsidR="00DC430D" w:rsidRDefault="00DC430D" w:rsidP="00CB12CF">
      <w:pPr>
        <w:spacing w:after="0" w:line="240" w:lineRule="auto"/>
        <w:jc w:val="center"/>
        <w:rPr>
          <w:b/>
          <w:sz w:val="28"/>
          <w:szCs w:val="28"/>
        </w:rPr>
      </w:pPr>
    </w:p>
    <w:p w:rsidR="00DC430D" w:rsidRDefault="00DC430D" w:rsidP="00CB12CF">
      <w:pPr>
        <w:spacing w:after="0" w:line="240" w:lineRule="auto"/>
        <w:jc w:val="center"/>
        <w:rPr>
          <w:b/>
          <w:sz w:val="28"/>
          <w:szCs w:val="28"/>
        </w:rPr>
      </w:pPr>
    </w:p>
    <w:p w:rsidR="00CB12CF" w:rsidRPr="00640D6A" w:rsidRDefault="00CB12CF" w:rsidP="00CB12CF">
      <w:pPr>
        <w:spacing w:after="0" w:line="240" w:lineRule="auto"/>
        <w:jc w:val="center"/>
      </w:pPr>
      <w:r w:rsidRPr="00640D6A">
        <w:rPr>
          <w:b/>
          <w:sz w:val="28"/>
          <w:szCs w:val="28"/>
        </w:rPr>
        <w:t xml:space="preserve">American </w:t>
      </w:r>
      <w:r>
        <w:rPr>
          <w:b/>
          <w:sz w:val="28"/>
          <w:szCs w:val="28"/>
        </w:rPr>
        <w:t>Government and Economics</w:t>
      </w:r>
    </w:p>
    <w:p w:rsidR="00CB12CF" w:rsidRPr="00640D6A" w:rsidRDefault="00CB12CF" w:rsidP="00CB12CF">
      <w:pPr>
        <w:spacing w:after="0" w:line="240" w:lineRule="auto"/>
        <w:jc w:val="center"/>
        <w:rPr>
          <w:sz w:val="28"/>
          <w:szCs w:val="28"/>
        </w:rPr>
      </w:pPr>
      <w:r w:rsidRPr="00640D6A">
        <w:rPr>
          <w:sz w:val="28"/>
          <w:szCs w:val="28"/>
        </w:rPr>
        <w:t>2017-2018</w:t>
      </w:r>
    </w:p>
    <w:p w:rsidR="00CB12CF" w:rsidRDefault="00CB12CF" w:rsidP="00CB12CF">
      <w:pPr>
        <w:spacing w:after="0" w:line="240" w:lineRule="auto"/>
        <w:jc w:val="center"/>
        <w:rPr>
          <w:sz w:val="24"/>
          <w:szCs w:val="24"/>
        </w:rPr>
      </w:pPr>
      <w:r w:rsidRPr="00640D6A">
        <w:rPr>
          <w:sz w:val="24"/>
          <w:szCs w:val="24"/>
        </w:rPr>
        <w:t xml:space="preserve">Room 125 </w:t>
      </w:r>
    </w:p>
    <w:p w:rsidR="00DC430D" w:rsidRDefault="00DC430D" w:rsidP="00CB12CF">
      <w:pPr>
        <w:spacing w:after="0" w:line="240" w:lineRule="auto"/>
        <w:jc w:val="center"/>
        <w:rPr>
          <w:sz w:val="24"/>
          <w:szCs w:val="24"/>
        </w:rPr>
      </w:pPr>
    </w:p>
    <w:p w:rsidR="00CB12CF" w:rsidRDefault="00CB12CF" w:rsidP="00391F01">
      <w:pPr>
        <w:spacing w:after="0" w:line="240" w:lineRule="auto"/>
        <w:ind w:firstLine="360"/>
      </w:pPr>
      <w:r w:rsidRPr="00D742D5">
        <w:rPr>
          <w:b/>
        </w:rPr>
        <w:t>Teacher:</w:t>
      </w:r>
      <w:r>
        <w:t xml:space="preserve">     Jamie Franz</w:t>
      </w:r>
      <w:r>
        <w:tab/>
      </w:r>
      <w:r>
        <w:tab/>
      </w:r>
      <w:r w:rsidRPr="00D742D5">
        <w:rPr>
          <w:b/>
        </w:rPr>
        <w:t>Email:</w:t>
      </w:r>
      <w:r>
        <w:t xml:space="preserve">      </w:t>
      </w:r>
      <w:proofErr w:type="spellStart"/>
      <w:r w:rsidRPr="00112551">
        <w:t>jfranz@mvcsd.us</w:t>
      </w:r>
      <w:proofErr w:type="spellEnd"/>
      <w:r>
        <w:tab/>
        <w:t xml:space="preserve">            </w:t>
      </w:r>
      <w:r w:rsidRPr="00D742D5">
        <w:rPr>
          <w:b/>
        </w:rPr>
        <w:t>Phone:</w:t>
      </w:r>
      <w:r>
        <w:t xml:space="preserve"> (740) 393-5900 ext.  5628</w:t>
      </w:r>
    </w:p>
    <w:p w:rsidR="00CB12CF" w:rsidRDefault="00CB12CF" w:rsidP="00CB12CF">
      <w:pPr>
        <w:spacing w:after="0" w:line="240" w:lineRule="auto"/>
      </w:pPr>
    </w:p>
    <w:p w:rsidR="00CB12CF" w:rsidRPr="00BD4A26" w:rsidRDefault="00CB12CF" w:rsidP="00391F01">
      <w:pPr>
        <w:spacing w:after="0" w:line="240" w:lineRule="auto"/>
        <w:ind w:left="360"/>
        <w:rPr>
          <w:b/>
        </w:rPr>
      </w:pPr>
      <w:r w:rsidRPr="00BD4A26">
        <w:rPr>
          <w:b/>
        </w:rPr>
        <w:t>Course Description:</w:t>
      </w:r>
      <w:r w:rsidR="00391F01" w:rsidRPr="00391F01">
        <w:t xml:space="preserve"> </w:t>
      </w:r>
      <w:r w:rsidR="00391F01">
        <w:t xml:space="preserve">This course will examine how the American people govern themselves at national, state and local levels of government. We will be breaking each of these levels down and studying their impact on you as citizens of the United States. </w:t>
      </w:r>
      <w:r w:rsidR="00C813F4">
        <w:t>Students will study m</w:t>
      </w:r>
      <w:r w:rsidR="00391F01">
        <w:t>ajor economics concepts and issues, and the application of previously acquired skills and knowledge. Students will impact issues addressed by local governments through service learning projects.</w:t>
      </w:r>
    </w:p>
    <w:p w:rsidR="00CB12CF" w:rsidRPr="00640D6A" w:rsidRDefault="00CB12CF" w:rsidP="00CB12CF">
      <w:pPr>
        <w:spacing w:after="0" w:line="240" w:lineRule="auto"/>
        <w:jc w:val="center"/>
        <w:rPr>
          <w:sz w:val="24"/>
          <w:szCs w:val="24"/>
        </w:rPr>
      </w:pPr>
    </w:p>
    <w:p w:rsidR="00CB12CF" w:rsidRPr="00BD4A26" w:rsidRDefault="00CB12CF" w:rsidP="00391F01">
      <w:pPr>
        <w:spacing w:after="0" w:line="240" w:lineRule="auto"/>
        <w:ind w:firstLine="360"/>
        <w:rPr>
          <w:b/>
        </w:rPr>
      </w:pPr>
      <w:r w:rsidRPr="00BD4A26">
        <w:rPr>
          <w:b/>
        </w:rPr>
        <w:t>Classroom Rules and Expectations:</w:t>
      </w:r>
    </w:p>
    <w:tbl>
      <w:tblPr>
        <w:tblStyle w:val="TableGrid"/>
        <w:tblW w:w="0" w:type="auto"/>
        <w:tblInd w:w="619" w:type="dxa"/>
        <w:tblLook w:val="04A0"/>
      </w:tblPr>
      <w:tblGrid>
        <w:gridCol w:w="4788"/>
        <w:gridCol w:w="4788"/>
      </w:tblGrid>
      <w:tr w:rsidR="00CB12CF" w:rsidTr="00391F01">
        <w:tc>
          <w:tcPr>
            <w:tcW w:w="4788" w:type="dxa"/>
          </w:tcPr>
          <w:p w:rsidR="00CB12CF" w:rsidRDefault="00CB12CF" w:rsidP="006754C2">
            <w:pPr>
              <w:jc w:val="center"/>
            </w:pPr>
            <w:r>
              <w:t>Rule:</w:t>
            </w:r>
          </w:p>
        </w:tc>
        <w:tc>
          <w:tcPr>
            <w:tcW w:w="4788" w:type="dxa"/>
          </w:tcPr>
          <w:p w:rsidR="00CB12CF" w:rsidRDefault="00CB12CF" w:rsidP="006754C2">
            <w:pPr>
              <w:jc w:val="center"/>
            </w:pPr>
            <w:r>
              <w:t>Explanation:</w:t>
            </w:r>
          </w:p>
        </w:tc>
      </w:tr>
      <w:tr w:rsidR="00CB12CF" w:rsidTr="00391F01">
        <w:tc>
          <w:tcPr>
            <w:tcW w:w="4788" w:type="dxa"/>
          </w:tcPr>
          <w:p w:rsidR="00CB12CF" w:rsidRDefault="00CB12CF" w:rsidP="006754C2">
            <w:r>
              <w:t>Be respectful to yourself and others</w:t>
            </w:r>
          </w:p>
        </w:tc>
        <w:tc>
          <w:tcPr>
            <w:tcW w:w="4788" w:type="dxa"/>
          </w:tcPr>
          <w:p w:rsidR="00CB12CF" w:rsidRDefault="00CB12CF" w:rsidP="006754C2">
            <w:r>
              <w:t>In this classroom respect each other’s physical space along with their individual thoughts/ ideas.</w:t>
            </w:r>
          </w:p>
        </w:tc>
      </w:tr>
      <w:tr w:rsidR="00CB12CF" w:rsidTr="00391F01">
        <w:tc>
          <w:tcPr>
            <w:tcW w:w="4788" w:type="dxa"/>
          </w:tcPr>
          <w:p w:rsidR="00CB12CF" w:rsidRDefault="00CB12CF" w:rsidP="006754C2">
            <w:r>
              <w:t xml:space="preserve">Stay on task and apply yourself. </w:t>
            </w:r>
          </w:p>
        </w:tc>
        <w:tc>
          <w:tcPr>
            <w:tcW w:w="4788" w:type="dxa"/>
          </w:tcPr>
          <w:p w:rsidR="00CB12CF" w:rsidRDefault="00CB12CF" w:rsidP="006754C2">
            <w:r>
              <w:t>Follow directions, stay focused, and do your best.</w:t>
            </w:r>
          </w:p>
        </w:tc>
      </w:tr>
      <w:tr w:rsidR="00CB12CF" w:rsidTr="00391F01">
        <w:tc>
          <w:tcPr>
            <w:tcW w:w="4788" w:type="dxa"/>
          </w:tcPr>
          <w:p w:rsidR="00CB12CF" w:rsidRDefault="00CB12CF" w:rsidP="006754C2">
            <w:r>
              <w:t>Come to class on time, prepared with mind and material</w:t>
            </w:r>
          </w:p>
        </w:tc>
        <w:tc>
          <w:tcPr>
            <w:tcW w:w="4788" w:type="dxa"/>
          </w:tcPr>
          <w:p w:rsidR="00CB12CF" w:rsidRDefault="00CB12CF" w:rsidP="006754C2">
            <w:r>
              <w:t xml:space="preserve">Be in seat when the bell rings with all the material you need and be ready to learn. </w:t>
            </w:r>
          </w:p>
          <w:p w:rsidR="00CB12CF" w:rsidRDefault="00CB12CF" w:rsidP="00CB12CF">
            <w:pPr>
              <w:pStyle w:val="ListParagraph"/>
              <w:numPr>
                <w:ilvl w:val="0"/>
                <w:numId w:val="2"/>
              </w:numPr>
            </w:pPr>
            <w:r>
              <w:t xml:space="preserve">Pencil, homework, </w:t>
            </w:r>
            <w:proofErr w:type="spellStart"/>
            <w:r>
              <w:t>chromebook</w:t>
            </w:r>
            <w:proofErr w:type="spellEnd"/>
          </w:p>
          <w:p w:rsidR="00CB12CF" w:rsidRDefault="00CB12CF" w:rsidP="00CB12CF">
            <w:pPr>
              <w:pStyle w:val="ListParagraph"/>
              <w:numPr>
                <w:ilvl w:val="0"/>
                <w:numId w:val="2"/>
              </w:numPr>
            </w:pPr>
            <w:r>
              <w:t>NO backpack</w:t>
            </w:r>
          </w:p>
        </w:tc>
      </w:tr>
    </w:tbl>
    <w:p w:rsidR="00CB12CF" w:rsidRPr="00BD4A26" w:rsidRDefault="00391F01" w:rsidP="00391F01">
      <w:pPr>
        <w:spacing w:after="0" w:line="240" w:lineRule="auto"/>
        <w:rPr>
          <w:b/>
        </w:rPr>
      </w:pPr>
      <w:r>
        <w:rPr>
          <w:b/>
        </w:rPr>
        <w:t xml:space="preserve"> </w:t>
      </w:r>
      <w:r w:rsidR="00CB12CF" w:rsidRPr="00BD4A26">
        <w:rPr>
          <w:b/>
        </w:rPr>
        <w:t>Consequences:</w:t>
      </w:r>
    </w:p>
    <w:p w:rsidR="00CB12CF" w:rsidRDefault="00CB12CF" w:rsidP="00391F01">
      <w:pPr>
        <w:spacing w:after="0" w:line="240" w:lineRule="auto"/>
        <w:ind w:left="720"/>
      </w:pPr>
      <w:r>
        <w:t>If the rules listed above are broken the following consequences will be made.  (Please note the order can change due to severity of issue)</w:t>
      </w:r>
    </w:p>
    <w:p w:rsidR="00CB12CF" w:rsidRDefault="00CB12CF" w:rsidP="00CB12CF">
      <w:pPr>
        <w:spacing w:after="0" w:line="240" w:lineRule="auto"/>
      </w:pPr>
      <w:r>
        <w:rPr>
          <w:noProof/>
        </w:rPr>
        <w:pict>
          <v:group id="_x0000_s1026" style="position:absolute;margin-left:93.1pt;margin-top:5.55pt;width:226.9pt;height:78pt;z-index:-251653120" coordorigin="1620,6435" coordsize="4538,1560" wrapcoords="0 1869 -71 2492 -71 3946 10764 5192 2352 6854 927 7269 998 9138 9196 11838 2210 12254 2210 14538 10764 15162 6059 16823 3279 17862 3350 19523 3422 19523 4063 19523 4206 18485 10693 15162 10693 11838 1925 8515 10764 5192 9481 5192 642 1869 0 1869">
            <v:oval id="_x0000_s1027" style="position:absolute;left:1620;top:6570;width:143;height:143"/>
            <v:shapetype id="_x0000_t202" coordsize="21600,21600" o:spt="202" path="m,l,21600r21600,l21600,xe">
              <v:stroke joinstyle="miter"/>
              <v:path gradientshapeok="t" o:connecttype="rect"/>
            </v:shapetype>
            <v:shape id="_x0000_s1028" type="#_x0000_t202" style="position:absolute;left:1853;top:6435;width:3540;height:390" filled="f" stroked="f">
              <v:textbox>
                <w:txbxContent>
                  <w:p w:rsidR="003C117E" w:rsidRDefault="003C117E" w:rsidP="00CB12CF">
                    <w:r>
                      <w:t>1</w:t>
                    </w:r>
                    <w:r w:rsidRPr="00112551">
                      <w:rPr>
                        <w:vertAlign w:val="superscript"/>
                      </w:rPr>
                      <w:t>st</w:t>
                    </w:r>
                    <w:r>
                      <w:t>-Verbal warning/ See me after class</w:t>
                    </w:r>
                  </w:p>
                </w:txbxContent>
              </v:textbox>
            </v:shape>
            <v:oval id="_x0000_s1029" style="position:absolute;left:1860;top:6953;width:143;height:143"/>
            <v:shape id="_x0000_s1030" type="#_x0000_t202" style="position:absolute;left:2093;top:6825;width:3540;height:390" filled="f" stroked="f">
              <v:textbox>
                <w:txbxContent>
                  <w:p w:rsidR="003C117E" w:rsidRDefault="003C117E" w:rsidP="00CB12CF">
                    <w:r>
                      <w:t>2</w:t>
                    </w:r>
                    <w:r w:rsidRPr="00112551">
                      <w:rPr>
                        <w:vertAlign w:val="superscript"/>
                      </w:rPr>
                      <w:t>nd</w:t>
                    </w:r>
                    <w:r>
                      <w:t xml:space="preserve"> -Call home to parent/guardian </w:t>
                    </w:r>
                  </w:p>
                </w:txbxContent>
              </v:textbox>
            </v:shape>
            <v:oval id="_x0000_s1031" style="position:absolute;left:2100;top:7336;width:143;height:143"/>
            <v:shape id="_x0000_s1032" type="#_x0000_t202" style="position:absolute;left:2333;top:7215;width:3540;height:390" filled="f" stroked="f">
              <v:textbox>
                <w:txbxContent>
                  <w:p w:rsidR="003C117E" w:rsidRDefault="003C117E" w:rsidP="00CB12CF">
                    <w:r>
                      <w:t>3</w:t>
                    </w:r>
                    <w:r w:rsidRPr="00112551">
                      <w:rPr>
                        <w:vertAlign w:val="superscript"/>
                      </w:rPr>
                      <w:t>rd</w:t>
                    </w:r>
                    <w:r>
                      <w:t xml:space="preserve"> -Detention/ Friday School </w:t>
                    </w:r>
                  </w:p>
                </w:txbxContent>
              </v:textbox>
            </v:shape>
            <v:oval id="_x0000_s1033" style="position:absolute;left:2340;top:7719;width:143;height:143"/>
            <v:shape id="_x0000_s1034" type="#_x0000_t202" style="position:absolute;left:2618;top:7605;width:3540;height:390" filled="f" stroked="f">
              <v:textbox>
                <w:txbxContent>
                  <w:p w:rsidR="003C117E" w:rsidRDefault="003C117E" w:rsidP="00CB12CF">
                    <w:r>
                      <w:t>4</w:t>
                    </w:r>
                    <w:r w:rsidRPr="00112551">
                      <w:rPr>
                        <w:vertAlign w:val="superscript"/>
                      </w:rPr>
                      <w:t>th</w:t>
                    </w:r>
                    <w:r>
                      <w:t xml:space="preserve">-Office Referral </w:t>
                    </w:r>
                  </w:p>
                </w:txbxContent>
              </v:textbox>
            </v:shape>
            <w10:wrap type="tight"/>
          </v:group>
        </w:pict>
      </w:r>
    </w:p>
    <w:p w:rsidR="00CB12CF" w:rsidRPr="00112551" w:rsidRDefault="00CB12CF" w:rsidP="00CB12CF"/>
    <w:p w:rsidR="00CB12CF" w:rsidRPr="00112551" w:rsidRDefault="00CB12CF" w:rsidP="00CB12CF"/>
    <w:p w:rsidR="00CB12CF" w:rsidRDefault="00CB12CF" w:rsidP="00CB12CF"/>
    <w:p w:rsidR="00CB12CF" w:rsidRPr="00BD4A26" w:rsidRDefault="00CB12CF" w:rsidP="00CB12CF">
      <w:pPr>
        <w:spacing w:after="0"/>
        <w:rPr>
          <w:b/>
        </w:rPr>
      </w:pPr>
      <w:r w:rsidRPr="00BD4A26">
        <w:rPr>
          <w:b/>
        </w:rPr>
        <w:t>Classroom Materials:</w:t>
      </w:r>
    </w:p>
    <w:p w:rsidR="00CB12CF" w:rsidRDefault="00CB12CF" w:rsidP="00CB12CF">
      <w:pPr>
        <w:pStyle w:val="ListParagraph"/>
        <w:numPr>
          <w:ilvl w:val="0"/>
          <w:numId w:val="1"/>
        </w:numPr>
        <w:spacing w:after="0"/>
      </w:pPr>
      <w:r>
        <w:t>1-  1” 3-ring binder</w:t>
      </w:r>
      <w:r w:rsidR="00CE44A6">
        <w:t>/folder</w:t>
      </w:r>
    </w:p>
    <w:p w:rsidR="00CB12CF" w:rsidRDefault="00CB12CF" w:rsidP="00CB12CF">
      <w:pPr>
        <w:pStyle w:val="ListParagraph"/>
        <w:numPr>
          <w:ilvl w:val="0"/>
          <w:numId w:val="1"/>
        </w:numPr>
      </w:pPr>
      <w:r>
        <w:t>1-  College-ruled notebook (Can be part of a 5 subject notebook)</w:t>
      </w:r>
    </w:p>
    <w:p w:rsidR="00CB12CF" w:rsidRDefault="00CB12CF" w:rsidP="00CB12CF">
      <w:pPr>
        <w:pStyle w:val="ListParagraph"/>
        <w:numPr>
          <w:ilvl w:val="0"/>
          <w:numId w:val="1"/>
        </w:numPr>
      </w:pPr>
      <w:proofErr w:type="spellStart"/>
      <w:r>
        <w:t>Chromebook</w:t>
      </w:r>
      <w:proofErr w:type="spellEnd"/>
      <w:r>
        <w:t xml:space="preserve"> (bring everyday)</w:t>
      </w:r>
    </w:p>
    <w:p w:rsidR="00CB12CF" w:rsidRDefault="00CB12CF" w:rsidP="00CB12CF">
      <w:pPr>
        <w:spacing w:after="0"/>
        <w:rPr>
          <w:b/>
        </w:rPr>
      </w:pPr>
      <w:r w:rsidRPr="0012711E">
        <w:rPr>
          <w:b/>
        </w:rPr>
        <w:t>Classroom Procedure:</w:t>
      </w:r>
    </w:p>
    <w:p w:rsidR="006754C2" w:rsidRDefault="006754C2" w:rsidP="00CB12CF">
      <w:pPr>
        <w:spacing w:after="0"/>
        <w:rPr>
          <w:b/>
        </w:rPr>
      </w:pPr>
      <w:r>
        <w:rPr>
          <w:b/>
        </w:rPr>
        <w:tab/>
        <w:t xml:space="preserve">Class Requirements: </w:t>
      </w:r>
    </w:p>
    <w:p w:rsidR="006754C2" w:rsidRDefault="006754C2" w:rsidP="00CB12CF">
      <w:pPr>
        <w:spacing w:after="0"/>
      </w:pPr>
      <w:r>
        <w:rPr>
          <w:b/>
        </w:rPr>
        <w:tab/>
      </w:r>
      <w:r>
        <w:rPr>
          <w:b/>
        </w:rPr>
        <w:tab/>
      </w:r>
      <w:r>
        <w:t xml:space="preserve">First Nine Weeks: 2 page </w:t>
      </w:r>
      <w:proofErr w:type="spellStart"/>
      <w:r>
        <w:t>APA</w:t>
      </w:r>
      <w:proofErr w:type="spellEnd"/>
      <w:r>
        <w:t xml:space="preserve"> paper </w:t>
      </w:r>
    </w:p>
    <w:p w:rsidR="006754C2" w:rsidRDefault="006754C2" w:rsidP="00CB12CF">
      <w:pPr>
        <w:spacing w:after="0"/>
        <w:rPr>
          <w:b/>
        </w:rPr>
      </w:pPr>
      <w:r>
        <w:tab/>
      </w:r>
      <w:r>
        <w:tab/>
      </w:r>
      <w:r>
        <w:tab/>
        <w:t>-Focus on writing skills</w:t>
      </w:r>
      <w:r>
        <w:rPr>
          <w:b/>
        </w:rPr>
        <w:t xml:space="preserve">  </w:t>
      </w:r>
    </w:p>
    <w:p w:rsidR="006754C2" w:rsidRDefault="006754C2" w:rsidP="00CB12CF">
      <w:pPr>
        <w:spacing w:after="0"/>
      </w:pPr>
      <w:r>
        <w:rPr>
          <w:b/>
        </w:rPr>
        <w:tab/>
      </w:r>
      <w:r>
        <w:rPr>
          <w:b/>
        </w:rPr>
        <w:tab/>
      </w:r>
      <w:r w:rsidRPr="006754C2">
        <w:t>Second Nine Weeks:</w:t>
      </w:r>
      <w:r>
        <w:t xml:space="preserve"> 2 page </w:t>
      </w:r>
      <w:proofErr w:type="spellStart"/>
      <w:r>
        <w:t>APA</w:t>
      </w:r>
      <w:proofErr w:type="spellEnd"/>
      <w:r>
        <w:t xml:space="preserve"> paper</w:t>
      </w:r>
    </w:p>
    <w:p w:rsidR="006754C2" w:rsidRDefault="006754C2" w:rsidP="006754C2">
      <w:pPr>
        <w:spacing w:after="0"/>
      </w:pPr>
      <w:r>
        <w:tab/>
      </w:r>
      <w:r>
        <w:tab/>
      </w:r>
      <w:r>
        <w:tab/>
        <w:t xml:space="preserve">-Focus on sources </w:t>
      </w:r>
    </w:p>
    <w:p w:rsidR="006754C2" w:rsidRDefault="006754C2" w:rsidP="006754C2">
      <w:pPr>
        <w:spacing w:after="0"/>
      </w:pPr>
      <w:r>
        <w:tab/>
      </w:r>
      <w:r>
        <w:tab/>
        <w:t xml:space="preserve">Third Nine Weeks: 4-5 page </w:t>
      </w:r>
      <w:proofErr w:type="spellStart"/>
      <w:r>
        <w:t>APA</w:t>
      </w:r>
      <w:proofErr w:type="spellEnd"/>
      <w:r>
        <w:t xml:space="preserve"> paper</w:t>
      </w:r>
    </w:p>
    <w:p w:rsidR="006754C2" w:rsidRDefault="006754C2" w:rsidP="006754C2">
      <w:pPr>
        <w:spacing w:after="0"/>
        <w:ind w:left="390"/>
      </w:pPr>
      <w:r>
        <w:tab/>
      </w:r>
      <w:r>
        <w:tab/>
      </w:r>
      <w:r>
        <w:tab/>
        <w:t>- Focus on writing skills and sources</w:t>
      </w:r>
    </w:p>
    <w:p w:rsidR="006754C2" w:rsidRDefault="006754C2" w:rsidP="006754C2">
      <w:pPr>
        <w:spacing w:after="0"/>
        <w:ind w:left="390"/>
      </w:pPr>
      <w:r>
        <w:t xml:space="preserve">                               </w:t>
      </w:r>
      <w:r>
        <w:tab/>
        <w:t>- Can you present and defend argument</w:t>
      </w:r>
    </w:p>
    <w:p w:rsidR="006754C2" w:rsidRDefault="006754C2" w:rsidP="006754C2">
      <w:pPr>
        <w:spacing w:after="0"/>
        <w:ind w:left="390"/>
      </w:pPr>
      <w:r>
        <w:tab/>
      </w:r>
      <w:r>
        <w:tab/>
        <w:t>Fourth Nine Weeks: Community Service</w:t>
      </w:r>
    </w:p>
    <w:p w:rsidR="006754C2" w:rsidRDefault="006754C2" w:rsidP="006754C2">
      <w:pPr>
        <w:spacing w:after="0"/>
        <w:ind w:left="390"/>
      </w:pPr>
      <w:r>
        <w:tab/>
      </w:r>
      <w:r>
        <w:tab/>
      </w:r>
      <w:r>
        <w:tab/>
        <w:t>- Time proved for you to give back to the community</w:t>
      </w:r>
    </w:p>
    <w:p w:rsidR="006754C2" w:rsidRDefault="00DC430D" w:rsidP="006754C2">
      <w:pPr>
        <w:spacing w:after="0"/>
      </w:pPr>
      <w:r>
        <w:rPr>
          <w:noProof/>
        </w:rPr>
        <w:lastRenderedPageBreak/>
        <w:drawing>
          <wp:anchor distT="0" distB="0" distL="114300" distR="114300" simplePos="0" relativeHeight="251664384" behindDoc="0" locked="0" layoutInCell="1" allowOverlap="1">
            <wp:simplePos x="0" y="0"/>
            <wp:positionH relativeFrom="column">
              <wp:posOffset>-69850</wp:posOffset>
            </wp:positionH>
            <wp:positionV relativeFrom="paragraph">
              <wp:posOffset>69215</wp:posOffset>
            </wp:positionV>
            <wp:extent cx="6854190" cy="2523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grayscl/>
                    </a:blip>
                    <a:srcRect/>
                    <a:stretch>
                      <a:fillRect/>
                    </a:stretch>
                  </pic:blipFill>
                  <pic:spPr bwMode="auto">
                    <a:xfrm>
                      <a:off x="0" y="0"/>
                      <a:ext cx="6854190" cy="2523490"/>
                    </a:xfrm>
                    <a:prstGeom prst="rect">
                      <a:avLst/>
                    </a:prstGeom>
                    <a:noFill/>
                    <a:ln w="9525">
                      <a:noFill/>
                      <a:miter lim="800000"/>
                      <a:headEnd/>
                      <a:tailEnd/>
                    </a:ln>
                  </pic:spPr>
                </pic:pic>
              </a:graphicData>
            </a:graphic>
          </wp:anchor>
        </w:drawing>
      </w:r>
      <w:r w:rsidR="006754C2">
        <w:tab/>
      </w:r>
    </w:p>
    <w:p w:rsidR="00C813F4" w:rsidRDefault="00C813F4" w:rsidP="006754C2">
      <w:pPr>
        <w:spacing w:after="0"/>
      </w:pPr>
    </w:p>
    <w:p w:rsidR="00C813F4" w:rsidRDefault="00C813F4" w:rsidP="006754C2">
      <w:pPr>
        <w:spacing w:after="0"/>
      </w:pPr>
    </w:p>
    <w:p w:rsidR="00C813F4" w:rsidRDefault="00C813F4" w:rsidP="006754C2">
      <w:pPr>
        <w:spacing w:after="0"/>
      </w:pPr>
    </w:p>
    <w:tbl>
      <w:tblPr>
        <w:tblpPr w:leftFromText="180" w:rightFromText="180" w:vertAnchor="text" w:horzAnchor="margin" w:tblpY="-341"/>
        <w:tblW w:w="0" w:type="auto"/>
        <w:tblBorders>
          <w:top w:val="nil"/>
          <w:left w:val="nil"/>
          <w:bottom w:val="nil"/>
          <w:right w:val="nil"/>
        </w:tblBorders>
        <w:tblLook w:val="0000"/>
      </w:tblPr>
      <w:tblGrid>
        <w:gridCol w:w="222"/>
        <w:gridCol w:w="222"/>
      </w:tblGrid>
      <w:tr w:rsidR="00C813F4" w:rsidTr="00C813F4">
        <w:tblPrEx>
          <w:tblCellMar>
            <w:top w:w="0" w:type="dxa"/>
            <w:bottom w:w="0" w:type="dxa"/>
          </w:tblCellMar>
        </w:tblPrEx>
        <w:trPr>
          <w:trHeight w:val="110"/>
        </w:trPr>
        <w:tc>
          <w:tcPr>
            <w:tcW w:w="0" w:type="auto"/>
          </w:tcPr>
          <w:p w:rsidR="00C813F4" w:rsidRPr="00C813F4" w:rsidRDefault="00C813F4" w:rsidP="00C813F4">
            <w:pPr>
              <w:pStyle w:val="Default"/>
              <w:rPr>
                <w:sz w:val="22"/>
                <w:szCs w:val="22"/>
                <w:u w:val="single"/>
              </w:rPr>
            </w:pPr>
          </w:p>
        </w:tc>
        <w:tc>
          <w:tcPr>
            <w:tcW w:w="0" w:type="auto"/>
          </w:tcPr>
          <w:p w:rsidR="00C813F4" w:rsidRPr="00C813F4" w:rsidRDefault="00C813F4" w:rsidP="00C813F4">
            <w:pPr>
              <w:pStyle w:val="Default"/>
              <w:rPr>
                <w:sz w:val="22"/>
                <w:szCs w:val="22"/>
                <w:u w:val="single"/>
              </w:rPr>
            </w:pPr>
          </w:p>
        </w:tc>
      </w:tr>
      <w:tr w:rsidR="00C813F4" w:rsidTr="00C813F4">
        <w:tblPrEx>
          <w:tblCellMar>
            <w:top w:w="0" w:type="dxa"/>
            <w:bottom w:w="0" w:type="dxa"/>
          </w:tblCellMar>
        </w:tblPrEx>
        <w:trPr>
          <w:trHeight w:val="3069"/>
        </w:trPr>
        <w:tc>
          <w:tcPr>
            <w:tcW w:w="0" w:type="auto"/>
          </w:tcPr>
          <w:p w:rsidR="00C813F4" w:rsidRDefault="00C813F4" w:rsidP="00C813F4">
            <w:pPr>
              <w:pStyle w:val="Default"/>
              <w:rPr>
                <w:sz w:val="22"/>
                <w:szCs w:val="22"/>
              </w:rPr>
            </w:pPr>
          </w:p>
        </w:tc>
        <w:tc>
          <w:tcPr>
            <w:tcW w:w="0" w:type="auto"/>
          </w:tcPr>
          <w:p w:rsidR="00C813F4" w:rsidRDefault="00C813F4" w:rsidP="00C813F4">
            <w:pPr>
              <w:pStyle w:val="Default"/>
              <w:rPr>
                <w:sz w:val="22"/>
                <w:szCs w:val="22"/>
              </w:rPr>
            </w:pPr>
          </w:p>
        </w:tc>
      </w:tr>
    </w:tbl>
    <w:p w:rsidR="00C813F4" w:rsidRDefault="00C813F4" w:rsidP="006754C2">
      <w:pPr>
        <w:spacing w:after="0"/>
      </w:pPr>
    </w:p>
    <w:p w:rsidR="00C813F4" w:rsidRDefault="00C813F4" w:rsidP="006754C2">
      <w:pPr>
        <w:spacing w:after="0"/>
      </w:pPr>
    </w:p>
    <w:p w:rsidR="00C813F4" w:rsidRDefault="00C813F4" w:rsidP="006754C2">
      <w:pPr>
        <w:spacing w:after="0"/>
      </w:pPr>
    </w:p>
    <w:p w:rsidR="006754C2" w:rsidRDefault="006754C2" w:rsidP="006754C2">
      <w:pPr>
        <w:spacing w:after="0"/>
      </w:pPr>
    </w:p>
    <w:p w:rsidR="00C813F4" w:rsidRDefault="00C813F4" w:rsidP="006754C2">
      <w:pPr>
        <w:spacing w:after="0"/>
      </w:pPr>
    </w:p>
    <w:p w:rsidR="00C813F4" w:rsidRDefault="00C813F4" w:rsidP="006754C2">
      <w:pPr>
        <w:spacing w:after="0"/>
      </w:pPr>
    </w:p>
    <w:p w:rsidR="00C813F4" w:rsidRDefault="00C813F4" w:rsidP="006754C2">
      <w:pPr>
        <w:spacing w:after="0"/>
      </w:pPr>
    </w:p>
    <w:p w:rsidR="00C813F4" w:rsidRDefault="00C813F4" w:rsidP="006754C2">
      <w:pPr>
        <w:spacing w:after="0"/>
      </w:pPr>
    </w:p>
    <w:p w:rsidR="00C813F4" w:rsidRDefault="00C813F4" w:rsidP="006754C2">
      <w:pPr>
        <w:spacing w:after="0"/>
      </w:pPr>
    </w:p>
    <w:p w:rsidR="00DC430D" w:rsidRDefault="00DC430D" w:rsidP="00DC430D">
      <w:pPr>
        <w:pStyle w:val="Default"/>
        <w:rPr>
          <w:b/>
          <w:bCs/>
          <w:i/>
          <w:iCs/>
          <w:sz w:val="22"/>
          <w:szCs w:val="22"/>
        </w:rPr>
      </w:pPr>
      <w:r>
        <w:t xml:space="preserve"> </w:t>
      </w:r>
      <w:r>
        <w:rPr>
          <w:b/>
          <w:bCs/>
          <w:i/>
          <w:iCs/>
          <w:sz w:val="22"/>
          <w:szCs w:val="22"/>
        </w:rPr>
        <w:t>NOTE</w:t>
      </w:r>
      <w:r>
        <w:rPr>
          <w:b/>
          <w:bCs/>
          <w:sz w:val="22"/>
          <w:szCs w:val="22"/>
        </w:rPr>
        <w:t xml:space="preserve">: </w:t>
      </w:r>
      <w:r>
        <w:rPr>
          <w:b/>
          <w:bCs/>
          <w:i/>
          <w:iCs/>
          <w:sz w:val="22"/>
          <w:szCs w:val="22"/>
        </w:rPr>
        <w:t>Time spent on a particular topic, as well as topic order, may vary as needed.</w:t>
      </w:r>
    </w:p>
    <w:p w:rsidR="00DC430D" w:rsidRDefault="00DC430D" w:rsidP="00DC430D">
      <w:pPr>
        <w:pStyle w:val="Default"/>
      </w:pPr>
    </w:p>
    <w:p w:rsidR="00CB12CF" w:rsidRDefault="00CB12CF" w:rsidP="00CB12CF">
      <w:pPr>
        <w:spacing w:after="0"/>
      </w:pPr>
      <w:r w:rsidRPr="003F00CD">
        <w:rPr>
          <w:b/>
        </w:rPr>
        <w:t>Discussion/ Debates</w:t>
      </w:r>
      <w:r>
        <w:t xml:space="preserve">: </w:t>
      </w:r>
    </w:p>
    <w:p w:rsidR="00CB12CF" w:rsidRDefault="00CB12CF" w:rsidP="00CB12CF">
      <w:pPr>
        <w:pStyle w:val="ListParagraph"/>
        <w:numPr>
          <w:ilvl w:val="0"/>
          <w:numId w:val="3"/>
        </w:numPr>
        <w:spacing w:after="0" w:line="240" w:lineRule="auto"/>
      </w:pPr>
      <w:r>
        <w:t xml:space="preserve">This is a class that is based around the ideas and philosophy of others, so it is very important that we understand that this classroom is a </w:t>
      </w:r>
      <w:r w:rsidRPr="003F00CD">
        <w:rPr>
          <w:i/>
        </w:rPr>
        <w:t>safe zone</w:t>
      </w:r>
      <w:r>
        <w:t>.  We understand that each person is entitled to their own opinion, and that it may not be the same as our own, but we can respect it anyways. We also raise our hand to ask a question or to contribute to a discussion.</w:t>
      </w:r>
    </w:p>
    <w:p w:rsidR="00CB12CF" w:rsidRDefault="00CB12CF" w:rsidP="00CB12CF">
      <w:pPr>
        <w:spacing w:after="0" w:line="240" w:lineRule="auto"/>
      </w:pPr>
      <w:r>
        <w:rPr>
          <w:b/>
        </w:rPr>
        <w:t xml:space="preserve">                                 </w:t>
      </w:r>
      <w:r w:rsidRPr="00112551">
        <w:rPr>
          <w:b/>
        </w:rPr>
        <w:t>There will be zero tolerance on put downs towards others</w:t>
      </w:r>
      <w:r>
        <w:t xml:space="preserve">.  </w:t>
      </w:r>
    </w:p>
    <w:p w:rsidR="00DC430D" w:rsidRDefault="00DC430D" w:rsidP="00CB12CF">
      <w:pPr>
        <w:spacing w:after="0" w:line="240" w:lineRule="auto"/>
      </w:pPr>
    </w:p>
    <w:p w:rsidR="00CB12CF" w:rsidRPr="00BD4A26" w:rsidRDefault="00CB12CF" w:rsidP="00CB12CF">
      <w:pPr>
        <w:spacing w:after="0" w:line="240" w:lineRule="auto"/>
        <w:rPr>
          <w:b/>
        </w:rPr>
      </w:pPr>
      <w:r w:rsidRPr="00BD4A26">
        <w:rPr>
          <w:b/>
        </w:rPr>
        <w:t>Assignments:</w:t>
      </w:r>
    </w:p>
    <w:p w:rsidR="00CB12CF" w:rsidRDefault="00CB12CF" w:rsidP="00CB12CF">
      <w:pPr>
        <w:spacing w:after="0" w:line="240" w:lineRule="auto"/>
      </w:pPr>
      <w:r>
        <w:t xml:space="preserve">Assignments should be turned into the correct bin (numbered for each class period) in </w:t>
      </w:r>
      <w:r w:rsidRPr="009D764D">
        <w:rPr>
          <w:b/>
        </w:rPr>
        <w:t>colored folder</w:t>
      </w:r>
      <w:r>
        <w:t xml:space="preserve"> in each bin.  You may turn in </w:t>
      </w:r>
      <w:r w:rsidRPr="003F00CD">
        <w:rPr>
          <w:b/>
        </w:rPr>
        <w:t>late work for half credit up unt</w:t>
      </w:r>
      <w:r>
        <w:rPr>
          <w:b/>
        </w:rPr>
        <w:t xml:space="preserve">il the end of </w:t>
      </w:r>
      <w:r w:rsidR="006754C2">
        <w:rPr>
          <w:b/>
        </w:rPr>
        <w:t>unit to turn in work</w:t>
      </w:r>
      <w:r>
        <w:rPr>
          <w:b/>
        </w:rPr>
        <w:t xml:space="preserve">. </w:t>
      </w:r>
      <w:r>
        <w:t xml:space="preserve">After </w:t>
      </w:r>
      <w:r w:rsidR="006754C2">
        <w:t>we take the chapter test and/or project work from that unit will not be accepted</w:t>
      </w:r>
      <w:r>
        <w:t xml:space="preserve">. Please keep in mind that some points are better than no points! </w:t>
      </w:r>
    </w:p>
    <w:p w:rsidR="006754C2" w:rsidRDefault="006754C2" w:rsidP="00CB12CF">
      <w:pPr>
        <w:spacing w:after="0" w:line="240" w:lineRule="auto"/>
      </w:pPr>
    </w:p>
    <w:p w:rsidR="00CB12CF" w:rsidRPr="00A06FDC" w:rsidRDefault="00CB12CF" w:rsidP="00CB12CF">
      <w:pPr>
        <w:spacing w:after="0" w:line="240" w:lineRule="auto"/>
        <w:rPr>
          <w:b/>
        </w:rPr>
      </w:pPr>
      <w:r w:rsidRPr="00BD4A26">
        <w:rPr>
          <w:b/>
        </w:rPr>
        <w:t>Attendance</w:t>
      </w:r>
      <w:r>
        <w:rPr>
          <w:b/>
        </w:rPr>
        <w:t>/ Tardy</w:t>
      </w:r>
      <w:r w:rsidRPr="00BD4A26">
        <w:rPr>
          <w:b/>
        </w:rPr>
        <w:t>:</w:t>
      </w:r>
    </w:p>
    <w:p w:rsidR="00CB12CF" w:rsidRDefault="00CB12CF" w:rsidP="00CB12CF">
      <w:pPr>
        <w:pStyle w:val="ListParagraph"/>
        <w:numPr>
          <w:ilvl w:val="0"/>
          <w:numId w:val="4"/>
        </w:numPr>
        <w:spacing w:after="0" w:line="240" w:lineRule="auto"/>
      </w:pPr>
      <w:r w:rsidRPr="00640D6A">
        <w:rPr>
          <w:b/>
        </w:rPr>
        <w:t>It is up to you to get your late work</w:t>
      </w:r>
      <w:r>
        <w:t xml:space="preserve">, meaning you </w:t>
      </w:r>
      <w:proofErr w:type="gramStart"/>
      <w:r>
        <w:t>need</w:t>
      </w:r>
      <w:proofErr w:type="gramEnd"/>
      <w:r>
        <w:t xml:space="preserve"> to ask for your assignments and/or schedule when you are going to make up your Test or Quiz. Failure to do so could result in a zero on assignments.</w:t>
      </w:r>
    </w:p>
    <w:p w:rsidR="00CB12CF" w:rsidRDefault="00CB12CF" w:rsidP="00CB12CF">
      <w:pPr>
        <w:pStyle w:val="ListParagraph"/>
        <w:numPr>
          <w:ilvl w:val="0"/>
          <w:numId w:val="4"/>
        </w:numPr>
        <w:spacing w:after="0" w:line="240" w:lineRule="auto"/>
      </w:pPr>
      <w:r>
        <w:t xml:space="preserve">If you have an excused absence from class, you can make up any work from the day you missed and turn it in the following day. You have the number of days that you missed to turn your work without losing any points.  For example, if you miss two days in a row, then you have two days to make up the work for full credit. </w:t>
      </w:r>
    </w:p>
    <w:p w:rsidR="00CB12CF" w:rsidRDefault="00CB12CF" w:rsidP="00CB12CF">
      <w:pPr>
        <w:pStyle w:val="ListParagraph"/>
        <w:numPr>
          <w:ilvl w:val="0"/>
          <w:numId w:val="4"/>
        </w:numPr>
        <w:spacing w:after="0" w:line="240" w:lineRule="auto"/>
      </w:pPr>
      <w:r>
        <w:t xml:space="preserve"> If you are more than </w:t>
      </w:r>
      <w:r w:rsidRPr="00A06FDC">
        <w:rPr>
          <w:b/>
        </w:rPr>
        <w:t>10 minutes late</w:t>
      </w:r>
      <w:r>
        <w:t xml:space="preserve"> to class is counts as an absence to my class. Make sure you are on time.</w:t>
      </w:r>
    </w:p>
    <w:p w:rsidR="00CB12CF" w:rsidRDefault="00CB12CF" w:rsidP="00CB12CF">
      <w:pPr>
        <w:pStyle w:val="ListParagraph"/>
        <w:numPr>
          <w:ilvl w:val="0"/>
          <w:numId w:val="4"/>
        </w:numPr>
        <w:spacing w:after="0" w:line="240" w:lineRule="auto"/>
      </w:pPr>
      <w:r>
        <w:t xml:space="preserve">If you do not come to class with all materials and ready for instruction and have to leave the room, it counts as a tardy. Examples: If you do not bring your supplies to class and have to go to your locker to get it that counts as a tardy. If you bring a backpack to class and have take it back to your locker that counts as a tardy. </w:t>
      </w:r>
    </w:p>
    <w:p w:rsidR="00CB12CF" w:rsidRDefault="00CB12CF" w:rsidP="00CB12CF">
      <w:pPr>
        <w:spacing w:after="0" w:line="240" w:lineRule="auto"/>
      </w:pPr>
    </w:p>
    <w:p w:rsidR="00CB12CF" w:rsidRPr="00BD4A26" w:rsidRDefault="00CB12CF" w:rsidP="00CB12CF">
      <w:pPr>
        <w:spacing w:after="0" w:line="240" w:lineRule="auto"/>
        <w:rPr>
          <w:b/>
        </w:rPr>
      </w:pPr>
      <w:r w:rsidRPr="00BD4A26">
        <w:rPr>
          <w:b/>
        </w:rPr>
        <w:t>Extra Resources:</w:t>
      </w:r>
    </w:p>
    <w:p w:rsidR="00CB12CF" w:rsidRDefault="00CB12CF" w:rsidP="00CB12CF">
      <w:pPr>
        <w:spacing w:after="0" w:line="240" w:lineRule="auto"/>
      </w:pPr>
      <w:r>
        <w:t xml:space="preserve">My classroom relies a lot on technology. Your </w:t>
      </w:r>
      <w:proofErr w:type="spellStart"/>
      <w:r>
        <w:t>Chromebook</w:t>
      </w:r>
      <w:proofErr w:type="spellEnd"/>
      <w:r>
        <w:t xml:space="preserve"> will be where you will find the resources that you need, like your textbook. Textbooks will not be assigned to take </w:t>
      </w:r>
      <w:proofErr w:type="gramStart"/>
      <w:r>
        <w:t>home,</w:t>
      </w:r>
      <w:proofErr w:type="gramEnd"/>
      <w:r>
        <w:t xml:space="preserve"> homework will use the online book or provided online resources.  We will also be using </w:t>
      </w:r>
      <w:proofErr w:type="spellStart"/>
      <w:r>
        <w:t>Schoology.com</w:t>
      </w:r>
      <w:proofErr w:type="spellEnd"/>
      <w:r>
        <w:t xml:space="preserve">, for assessments (Tests and Quizzes), and Google Classroom for a lot of your assignments. Please write down all of these passwords in your agenda. </w:t>
      </w:r>
    </w:p>
    <w:p w:rsidR="00CB12CF" w:rsidRDefault="00CB12CF" w:rsidP="00CB12CF">
      <w:pPr>
        <w:spacing w:after="0" w:line="240" w:lineRule="auto"/>
      </w:pPr>
    </w:p>
    <w:p w:rsidR="00CB12CF" w:rsidRDefault="00CB12CF" w:rsidP="00CB12CF">
      <w:pPr>
        <w:spacing w:after="0" w:line="240" w:lineRule="auto"/>
      </w:pPr>
      <w:r>
        <w:t xml:space="preserve"> Google Classroom:</w:t>
      </w:r>
      <w:r>
        <w:tab/>
      </w:r>
      <w:r>
        <w:tab/>
      </w:r>
      <w:r>
        <w:tab/>
      </w:r>
      <w:r>
        <w:tab/>
      </w:r>
      <w:r>
        <w:tab/>
      </w:r>
      <w:r>
        <w:tab/>
      </w:r>
      <w:r>
        <w:tab/>
      </w:r>
      <w:proofErr w:type="spellStart"/>
      <w:r>
        <w:t>Schoology</w:t>
      </w:r>
      <w:proofErr w:type="spellEnd"/>
      <w:r>
        <w:t>:</w:t>
      </w:r>
    </w:p>
    <w:p w:rsidR="00CB12CF" w:rsidRDefault="00CB12CF" w:rsidP="00CB12CF">
      <w:pPr>
        <w:pStyle w:val="ListParagraph"/>
        <w:numPr>
          <w:ilvl w:val="0"/>
          <w:numId w:val="5"/>
        </w:numPr>
        <w:spacing w:after="0" w:line="240" w:lineRule="auto"/>
      </w:pPr>
      <w:r>
        <w:t>Online copy of syllabus</w:t>
      </w:r>
      <w:r>
        <w:tab/>
      </w:r>
      <w:r>
        <w:tab/>
      </w:r>
      <w:r>
        <w:tab/>
      </w:r>
      <w:r>
        <w:tab/>
        <w:t>*Tests</w:t>
      </w:r>
    </w:p>
    <w:p w:rsidR="00CB12CF" w:rsidRDefault="00CB12CF" w:rsidP="00CB12CF">
      <w:pPr>
        <w:pStyle w:val="ListParagraph"/>
        <w:numPr>
          <w:ilvl w:val="0"/>
          <w:numId w:val="5"/>
        </w:numPr>
        <w:spacing w:after="0" w:line="240" w:lineRule="auto"/>
      </w:pPr>
      <w:r>
        <w:t>Worksheets and assignments</w:t>
      </w:r>
      <w:r>
        <w:tab/>
      </w:r>
      <w:r>
        <w:tab/>
      </w:r>
      <w:r>
        <w:tab/>
        <w:t>*Quizzes</w:t>
      </w:r>
    </w:p>
    <w:p w:rsidR="00CB12CF" w:rsidRDefault="00CB12CF" w:rsidP="00CB12CF">
      <w:pPr>
        <w:pStyle w:val="ListParagraph"/>
        <w:numPr>
          <w:ilvl w:val="0"/>
          <w:numId w:val="5"/>
        </w:numPr>
        <w:spacing w:after="0" w:line="240" w:lineRule="auto"/>
      </w:pPr>
      <w:r>
        <w:t>Textbook audio files</w:t>
      </w:r>
    </w:p>
    <w:p w:rsidR="00CB12CF" w:rsidRDefault="00CB12CF" w:rsidP="00CB12CF">
      <w:pPr>
        <w:pStyle w:val="ListParagraph"/>
        <w:numPr>
          <w:ilvl w:val="0"/>
          <w:numId w:val="5"/>
        </w:numPr>
        <w:spacing w:after="0" w:line="240" w:lineRule="auto"/>
      </w:pPr>
      <w:r>
        <w:t>Additional videos or documents</w:t>
      </w:r>
    </w:p>
    <w:p w:rsidR="00CB12CF" w:rsidRDefault="00CB12CF" w:rsidP="00CB12CF">
      <w:pPr>
        <w:pStyle w:val="ListParagraph"/>
        <w:spacing w:after="0" w:line="240" w:lineRule="auto"/>
        <w:ind w:left="1080"/>
      </w:pPr>
    </w:p>
    <w:p w:rsidR="00CB12CF" w:rsidRPr="00DC430D" w:rsidRDefault="00CB12CF" w:rsidP="00DC430D">
      <w:pPr>
        <w:rPr>
          <w:b/>
        </w:rPr>
      </w:pPr>
    </w:p>
    <w:p w:rsidR="00CB12CF" w:rsidRPr="009E5DD3" w:rsidRDefault="00CB12CF" w:rsidP="009E5DD3">
      <w:pPr>
        <w:ind w:left="720"/>
        <w:rPr>
          <w:b/>
        </w:rPr>
      </w:pPr>
      <w:r w:rsidRPr="009E5DD3">
        <w:rPr>
          <w:b/>
        </w:rPr>
        <w:lastRenderedPageBreak/>
        <w:t>Mrs. Franz Daily Schedule:</w:t>
      </w:r>
      <w:r w:rsidR="00DC430D" w:rsidRPr="009E5DD3">
        <w:rPr>
          <w:b/>
        </w:rPr>
        <w:t xml:space="preserve"> </w:t>
      </w:r>
      <w:r w:rsidR="00DC430D">
        <w:t xml:space="preserve">If you have questions about your assignments or need to schedule a conference please reference the schedule below. </w:t>
      </w:r>
    </w:p>
    <w:tbl>
      <w:tblPr>
        <w:tblStyle w:val="TableGrid"/>
        <w:tblW w:w="0" w:type="auto"/>
        <w:tblInd w:w="2340" w:type="dxa"/>
        <w:tblLook w:val="04A0"/>
      </w:tblPr>
      <w:tblGrid>
        <w:gridCol w:w="879"/>
        <w:gridCol w:w="1334"/>
        <w:gridCol w:w="2433"/>
      </w:tblGrid>
      <w:tr w:rsidR="00CB12CF" w:rsidTr="009E5DD3">
        <w:trPr>
          <w:trHeight w:val="279"/>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Period</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Time</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Class</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7:45-8:31</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American Government</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2</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8:35-9:21</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Study Hall (Mon &amp; Wed)</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3</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9:25-10:11</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U.S. History</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4</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10:15-11:01</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Conference</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5</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11:05-11:51</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U.S. History</w:t>
            </w:r>
          </w:p>
        </w:tc>
      </w:tr>
      <w:tr w:rsidR="00CB12CF" w:rsidTr="009E5DD3">
        <w:trPr>
          <w:trHeight w:val="279"/>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6</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11:55-12:25</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Lunch</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7</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12:29-1:15</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World History</w:t>
            </w:r>
          </w:p>
        </w:tc>
      </w:tr>
      <w:tr w:rsidR="00CB12CF" w:rsidTr="009E5DD3">
        <w:trPr>
          <w:trHeight w:val="327"/>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8</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1:19-2:05</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American Government</w:t>
            </w:r>
          </w:p>
        </w:tc>
      </w:tr>
      <w:tr w:rsidR="00CB12CF" w:rsidTr="009E5DD3">
        <w:trPr>
          <w:trHeight w:val="268"/>
        </w:trPr>
        <w:tc>
          <w:tcPr>
            <w:tcW w:w="879"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HIVE</w:t>
            </w:r>
          </w:p>
        </w:tc>
        <w:tc>
          <w:tcPr>
            <w:tcW w:w="1334"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2:09-2:35</w:t>
            </w:r>
          </w:p>
        </w:tc>
        <w:tc>
          <w:tcPr>
            <w:tcW w:w="2433" w:type="dxa"/>
            <w:tcBorders>
              <w:top w:val="single" w:sz="4" w:space="0" w:color="auto"/>
              <w:left w:val="single" w:sz="4" w:space="0" w:color="auto"/>
              <w:bottom w:val="single" w:sz="4" w:space="0" w:color="auto"/>
              <w:right w:val="single" w:sz="4" w:space="0" w:color="auto"/>
            </w:tcBorders>
            <w:hideMark/>
          </w:tcPr>
          <w:p w:rsidR="00CB12CF" w:rsidRPr="009E5DD3" w:rsidRDefault="00CB12CF" w:rsidP="006754C2">
            <w:pPr>
              <w:rPr>
                <w:sz w:val="20"/>
                <w:szCs w:val="20"/>
              </w:rPr>
            </w:pPr>
            <w:r w:rsidRPr="009E5DD3">
              <w:rPr>
                <w:sz w:val="20"/>
                <w:szCs w:val="20"/>
              </w:rPr>
              <w:t>Group Study</w:t>
            </w:r>
          </w:p>
        </w:tc>
      </w:tr>
      <w:tr w:rsidR="00CB12CF" w:rsidTr="009E5DD3">
        <w:trPr>
          <w:trHeight w:val="12"/>
        </w:trPr>
        <w:tc>
          <w:tcPr>
            <w:tcW w:w="879" w:type="dxa"/>
            <w:tcBorders>
              <w:top w:val="single" w:sz="4" w:space="0" w:color="auto"/>
              <w:left w:val="single" w:sz="4" w:space="0" w:color="auto"/>
              <w:bottom w:val="single" w:sz="4" w:space="0" w:color="auto"/>
              <w:right w:val="single" w:sz="4" w:space="0" w:color="auto"/>
            </w:tcBorders>
            <w:hideMark/>
          </w:tcPr>
          <w:p w:rsidR="00CB12CF" w:rsidRDefault="00CB12CF" w:rsidP="006754C2"/>
        </w:tc>
        <w:tc>
          <w:tcPr>
            <w:tcW w:w="1334" w:type="dxa"/>
            <w:tcBorders>
              <w:top w:val="single" w:sz="4" w:space="0" w:color="auto"/>
              <w:left w:val="single" w:sz="4" w:space="0" w:color="auto"/>
              <w:bottom w:val="single" w:sz="4" w:space="0" w:color="auto"/>
              <w:right w:val="single" w:sz="4" w:space="0" w:color="auto"/>
            </w:tcBorders>
            <w:hideMark/>
          </w:tcPr>
          <w:p w:rsidR="00CB12CF" w:rsidRDefault="00CB12CF" w:rsidP="006754C2"/>
        </w:tc>
        <w:tc>
          <w:tcPr>
            <w:tcW w:w="2433" w:type="dxa"/>
            <w:tcBorders>
              <w:top w:val="single" w:sz="4" w:space="0" w:color="auto"/>
              <w:left w:val="single" w:sz="4" w:space="0" w:color="auto"/>
              <w:bottom w:val="single" w:sz="4" w:space="0" w:color="auto"/>
              <w:right w:val="single" w:sz="4" w:space="0" w:color="auto"/>
            </w:tcBorders>
            <w:hideMark/>
          </w:tcPr>
          <w:p w:rsidR="00CB12CF" w:rsidRDefault="00CB12CF" w:rsidP="006754C2"/>
        </w:tc>
      </w:tr>
    </w:tbl>
    <w:p w:rsidR="006754C2" w:rsidRDefault="009E5DD3">
      <w:r>
        <w:rPr>
          <w:noProof/>
        </w:rPr>
        <w:pict>
          <v:shape id="_x0000_s1036" type="#_x0000_t202" style="position:absolute;margin-left:-10.1pt;margin-top:1.35pt;width:561.3pt;height:586.4pt;z-index:251665408;mso-position-horizontal-relative:text;mso-position-vertical-relative:text" filled="f" stroked="f">
            <v:textbox style="mso-next-textbox:#_x0000_s1036">
              <w:txbxContent>
                <w:p w:rsidR="009E5DD3" w:rsidRPr="009E5DD3" w:rsidRDefault="009E5DD3" w:rsidP="009E5DD3">
                  <w:pPr>
                    <w:spacing w:line="240" w:lineRule="auto"/>
                    <w:rPr>
                      <w:rFonts w:cs="Arial"/>
                      <w:b/>
                    </w:rPr>
                  </w:pPr>
                  <w:r w:rsidRPr="009E5DD3">
                    <w:rPr>
                      <w:rFonts w:cs="Arial"/>
                      <w:b/>
                    </w:rPr>
                    <w:t>Content Standards for American Government</w:t>
                  </w:r>
                </w:p>
                <w:p w:rsidR="003C117E" w:rsidRPr="009E5DD3" w:rsidRDefault="003C117E" w:rsidP="009E5DD3">
                  <w:pPr>
                    <w:pStyle w:val="ListParagraph"/>
                    <w:numPr>
                      <w:ilvl w:val="0"/>
                      <w:numId w:val="6"/>
                    </w:numPr>
                    <w:spacing w:line="240" w:lineRule="auto"/>
                    <w:rPr>
                      <w:rFonts w:cs="Arial"/>
                    </w:rPr>
                  </w:pPr>
                  <w:r w:rsidRPr="009E5DD3">
                    <w:rPr>
                      <w:rFonts w:cs="Arial"/>
                    </w:rPr>
                    <w:t>TOPIC: CIVIC INVOLVEMENT</w:t>
                  </w:r>
                </w:p>
                <w:p w:rsidR="003C117E" w:rsidRPr="009E5DD3" w:rsidRDefault="003C117E" w:rsidP="009E5DD3">
                  <w:pPr>
                    <w:spacing w:line="240" w:lineRule="auto"/>
                    <w:ind w:left="720"/>
                    <w:rPr>
                      <w:rFonts w:cs="Arial"/>
                    </w:rPr>
                  </w:pPr>
                  <w:r w:rsidRPr="009E5DD3">
                    <w:rPr>
                      <w:rFonts w:cs="Arial"/>
                    </w:rPr>
                    <w:t>1. Opportunities for civic engagement with the structures of government are made possible through political and public policy processes.</w:t>
                  </w:r>
                </w:p>
                <w:p w:rsidR="003C117E" w:rsidRPr="009E5DD3" w:rsidRDefault="003C117E" w:rsidP="009E5DD3">
                  <w:pPr>
                    <w:spacing w:line="240" w:lineRule="auto"/>
                    <w:ind w:left="720"/>
                    <w:rPr>
                      <w:rFonts w:cs="Arial"/>
                    </w:rPr>
                  </w:pPr>
                  <w:r w:rsidRPr="009E5DD3">
                    <w:rPr>
                      <w:rFonts w:cs="Arial"/>
                    </w:rPr>
                    <w:t>2. Political parties, interest groups and the media provide opportunities for civic involvement through various means.</w:t>
                  </w:r>
                </w:p>
                <w:p w:rsidR="003C117E" w:rsidRPr="009E5DD3" w:rsidRDefault="003C117E" w:rsidP="009E5DD3">
                  <w:pPr>
                    <w:pStyle w:val="ListParagraph"/>
                    <w:numPr>
                      <w:ilvl w:val="0"/>
                      <w:numId w:val="6"/>
                    </w:numPr>
                    <w:spacing w:line="240" w:lineRule="auto"/>
                    <w:rPr>
                      <w:rFonts w:cs="Arial"/>
                    </w:rPr>
                  </w:pPr>
                  <w:r w:rsidRPr="009E5DD3">
                    <w:rPr>
                      <w:rFonts w:cs="Arial"/>
                    </w:rPr>
                    <w:t>TOPIC: CIVIC PARTICIPATION AND SKILLS</w:t>
                  </w:r>
                </w:p>
                <w:p w:rsidR="003C117E" w:rsidRPr="009E5DD3" w:rsidRDefault="003C117E" w:rsidP="009E5DD3">
                  <w:pPr>
                    <w:spacing w:line="240" w:lineRule="auto"/>
                    <w:ind w:left="720"/>
                    <w:rPr>
                      <w:rFonts w:cs="Arial"/>
                    </w:rPr>
                  </w:pPr>
                  <w:r w:rsidRPr="009E5DD3">
                    <w:rPr>
                      <w:rFonts w:cs="Arial"/>
                    </w:rPr>
                    <w:t xml:space="preserve">3. Issues can be analyzed through the critical use of information from public records, surveys, research data and policy positions of advocacy groups. </w:t>
                  </w:r>
                </w:p>
                <w:p w:rsidR="003C117E" w:rsidRPr="009E5DD3" w:rsidRDefault="003C117E" w:rsidP="009E5DD3">
                  <w:pPr>
                    <w:spacing w:line="240" w:lineRule="auto"/>
                    <w:ind w:left="720"/>
                    <w:rPr>
                      <w:rFonts w:cs="Arial"/>
                    </w:rPr>
                  </w:pPr>
                  <w:r w:rsidRPr="009E5DD3">
                    <w:rPr>
                      <w:rFonts w:cs="Arial"/>
                    </w:rPr>
                    <w:t>4. The processes of persuasion, compromise, consensus building and negotiation contribute to the resolution of conflicts and differences.</w:t>
                  </w:r>
                </w:p>
                <w:p w:rsidR="003C117E" w:rsidRPr="009E5DD3" w:rsidRDefault="003C117E" w:rsidP="009E5DD3">
                  <w:pPr>
                    <w:pStyle w:val="ListParagraph"/>
                    <w:numPr>
                      <w:ilvl w:val="0"/>
                      <w:numId w:val="6"/>
                    </w:numPr>
                    <w:spacing w:line="240" w:lineRule="auto"/>
                    <w:rPr>
                      <w:rFonts w:cs="Arial"/>
                    </w:rPr>
                  </w:pPr>
                  <w:r w:rsidRPr="009E5DD3">
                    <w:rPr>
                      <w:rFonts w:cs="Arial"/>
                    </w:rPr>
                    <w:t>TOPIC: BASIC PRINCIPLES OF THE U.S. CONSTITUTION</w:t>
                  </w:r>
                </w:p>
                <w:p w:rsidR="003C117E" w:rsidRPr="009E5DD3" w:rsidRDefault="003C117E" w:rsidP="009E5DD3">
                  <w:pPr>
                    <w:spacing w:line="240" w:lineRule="auto"/>
                    <w:ind w:left="720"/>
                    <w:rPr>
                      <w:rFonts w:cs="Arial"/>
                    </w:rPr>
                  </w:pPr>
                  <w:r w:rsidRPr="009E5DD3">
                    <w:rPr>
                      <w:rFonts w:cs="Arial"/>
                    </w:rPr>
                    <w:t>5. As the supreme law of the land, the U.S. Constitution incorporates basic principles which help define the government of the United States as a federal republic including its structure, powers and relationship with the governed.</w:t>
                  </w:r>
                </w:p>
                <w:p w:rsidR="003C117E" w:rsidRPr="009E5DD3" w:rsidRDefault="003C117E" w:rsidP="009E5DD3">
                  <w:pPr>
                    <w:spacing w:line="240" w:lineRule="auto"/>
                    <w:ind w:left="720" w:firstLine="30"/>
                    <w:rPr>
                      <w:rFonts w:cs="Arial"/>
                    </w:rPr>
                  </w:pPr>
                  <w:r w:rsidRPr="009E5DD3">
                    <w:rPr>
                      <w:rFonts w:cs="Arial"/>
                    </w:rPr>
                    <w:t>6. The Federalist Papers and the Anti-Federalist Papers framed the national debate over the basic principles of government encompassed by the Constitution of the United States.</w:t>
                  </w:r>
                </w:p>
                <w:p w:rsidR="003C117E" w:rsidRPr="009E5DD3" w:rsidRDefault="003C117E" w:rsidP="009E5DD3">
                  <w:pPr>
                    <w:spacing w:line="240" w:lineRule="auto"/>
                    <w:ind w:left="720"/>
                    <w:rPr>
                      <w:rFonts w:cs="Arial"/>
                    </w:rPr>
                  </w:pPr>
                  <w:r w:rsidRPr="009E5DD3">
                    <w:rPr>
                      <w:rFonts w:cs="Arial"/>
                    </w:rPr>
                    <w:t xml:space="preserve">7. Constitutional government in the United States has changed over time as a result of amendments to the U.S. Constitution, Supreme Court decisions, legislation and informal practices. </w:t>
                  </w:r>
                </w:p>
                <w:p w:rsidR="003C117E" w:rsidRPr="009E5DD3" w:rsidRDefault="003C117E" w:rsidP="009E5DD3">
                  <w:pPr>
                    <w:spacing w:line="240" w:lineRule="auto"/>
                    <w:ind w:left="720"/>
                    <w:rPr>
                      <w:rFonts w:cs="Arial"/>
                    </w:rPr>
                  </w:pPr>
                  <w:r w:rsidRPr="009E5DD3">
                    <w:rPr>
                      <w:rFonts w:cs="Arial"/>
                    </w:rPr>
                    <w:t>8. The Bill of Rights was drafted in response to the national debate over the ratification of the Constitution of the United States.</w:t>
                  </w:r>
                </w:p>
                <w:p w:rsidR="003C117E" w:rsidRPr="009E5DD3" w:rsidRDefault="003C117E" w:rsidP="009E5DD3">
                  <w:pPr>
                    <w:spacing w:line="240" w:lineRule="auto"/>
                    <w:ind w:left="720"/>
                    <w:rPr>
                      <w:rFonts w:cs="Arial"/>
                    </w:rPr>
                  </w:pPr>
                  <w:r w:rsidRPr="009E5DD3">
                    <w:rPr>
                      <w:rFonts w:cs="Arial"/>
                    </w:rPr>
                    <w:t xml:space="preserve">9. The Reconstruction Era prompted Amendments 13 through 15 to address the aftermath of slavery and the Civil War. </w:t>
                  </w:r>
                </w:p>
                <w:p w:rsidR="003C117E" w:rsidRPr="009E5DD3" w:rsidRDefault="003C117E" w:rsidP="009E5DD3">
                  <w:pPr>
                    <w:spacing w:line="240" w:lineRule="auto"/>
                    <w:ind w:firstLine="720"/>
                    <w:rPr>
                      <w:rFonts w:cs="Arial"/>
                    </w:rPr>
                  </w:pPr>
                  <w:r w:rsidRPr="009E5DD3">
                    <w:rPr>
                      <w:rFonts w:cs="Arial"/>
                    </w:rPr>
                    <w:t>10. Amendments 16 through 19 responded to calls for reform during the Progressive Era.</w:t>
                  </w:r>
                </w:p>
                <w:p w:rsidR="003C117E" w:rsidRPr="009E5DD3" w:rsidRDefault="003C117E" w:rsidP="009E5DD3">
                  <w:pPr>
                    <w:spacing w:line="240" w:lineRule="auto"/>
                    <w:rPr>
                      <w:rFonts w:cs="Arial"/>
                    </w:rPr>
                  </w:pPr>
                  <w:r w:rsidRPr="009E5DD3">
                    <w:rPr>
                      <w:rFonts w:cs="Arial"/>
                    </w:rPr>
                    <w:t xml:space="preserve"> </w:t>
                  </w:r>
                  <w:r w:rsidR="009E5DD3">
                    <w:rPr>
                      <w:rFonts w:cs="Arial"/>
                    </w:rPr>
                    <w:tab/>
                  </w:r>
                  <w:r w:rsidRPr="009E5DD3">
                    <w:rPr>
                      <w:rFonts w:cs="Arial"/>
                    </w:rPr>
                    <w:t xml:space="preserve">11. Four amendments have provided for extensions of suffrage to disenfranchised groups. </w:t>
                  </w:r>
                </w:p>
                <w:p w:rsidR="003C117E" w:rsidRPr="009E5DD3" w:rsidRDefault="003C117E" w:rsidP="009E5DD3">
                  <w:pPr>
                    <w:spacing w:line="240" w:lineRule="auto"/>
                    <w:ind w:left="720"/>
                    <w:rPr>
                      <w:rFonts w:cs="Arial"/>
                    </w:rPr>
                  </w:pPr>
                  <w:r w:rsidRPr="009E5DD3">
                    <w:rPr>
                      <w:rFonts w:cs="Arial"/>
                    </w:rPr>
                    <w:t xml:space="preserve">12. Five amendments have altered provisions for presidential election, terms, and succession to address changing historical circumstances. </w:t>
                  </w:r>
                </w:p>
                <w:p w:rsidR="003C117E" w:rsidRPr="009E5DD3" w:rsidRDefault="003C117E" w:rsidP="009E5DD3">
                  <w:pPr>
                    <w:spacing w:line="240" w:lineRule="auto"/>
                    <w:ind w:firstLine="720"/>
                    <w:rPr>
                      <w:rFonts w:cs="Arial"/>
                    </w:rPr>
                  </w:pPr>
                  <w:r w:rsidRPr="009E5DD3">
                    <w:rPr>
                      <w:rFonts w:cs="Arial"/>
                    </w:rPr>
                    <w:t>13. Amendments 11, 21 and 27 have addressed unique historical circumstances.</w:t>
                  </w:r>
                </w:p>
                <w:p w:rsidR="003C117E" w:rsidRDefault="003C117E"/>
              </w:txbxContent>
            </v:textbox>
          </v:shape>
        </w:pict>
      </w:r>
    </w:p>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3C117E"/>
    <w:p w:rsidR="003C117E" w:rsidRDefault="009E5DD3">
      <w:r>
        <w:rPr>
          <w:noProof/>
        </w:rPr>
        <w:lastRenderedPageBreak/>
        <w:pict>
          <v:shape id="_x0000_s1037" type="#_x0000_t202" style="position:absolute;margin-left:-3.4pt;margin-top:-10.85pt;width:534.55pt;height:741.7pt;z-index:251667456;mso-position-horizontal-relative:text;mso-position-vertical-relative:text" filled="f" stroked="f">
            <v:textbox style="mso-next-textbox:#_x0000_s1037">
              <w:txbxContent>
                <w:p w:rsidR="009E5DD3" w:rsidRDefault="009E5DD3" w:rsidP="009E5DD3">
                  <w:pPr>
                    <w:spacing w:line="240" w:lineRule="auto"/>
                    <w:rPr>
                      <w:rFonts w:ascii="Arial" w:hAnsi="Arial" w:cs="Arial"/>
                      <w:sz w:val="18"/>
                      <w:szCs w:val="18"/>
                    </w:rPr>
                  </w:pPr>
                </w:p>
                <w:p w:rsidR="009E5DD3" w:rsidRPr="009E5DD3" w:rsidRDefault="003C117E" w:rsidP="009E5DD3">
                  <w:pPr>
                    <w:pStyle w:val="ListParagraph"/>
                    <w:numPr>
                      <w:ilvl w:val="0"/>
                      <w:numId w:val="7"/>
                    </w:numPr>
                    <w:spacing w:line="240" w:lineRule="auto"/>
                    <w:rPr>
                      <w:rFonts w:cs="Arial"/>
                    </w:rPr>
                  </w:pPr>
                  <w:r w:rsidRPr="009E5DD3">
                    <w:rPr>
                      <w:rFonts w:cs="Arial"/>
                    </w:rPr>
                    <w:t>TOPIC: STRUCTURE AND FUNC</w:t>
                  </w:r>
                  <w:r w:rsidR="009E5DD3" w:rsidRPr="009E5DD3">
                    <w:rPr>
                      <w:rFonts w:cs="Arial"/>
                    </w:rPr>
                    <w:t>TIONS OF THE FEDERAL GOVERNMENT</w:t>
                  </w:r>
                </w:p>
                <w:p w:rsidR="003C117E" w:rsidRPr="009E5DD3" w:rsidRDefault="003C117E" w:rsidP="009E5DD3">
                  <w:pPr>
                    <w:spacing w:line="240" w:lineRule="auto"/>
                    <w:ind w:left="720"/>
                    <w:rPr>
                      <w:rFonts w:cs="Arial"/>
                    </w:rPr>
                  </w:pPr>
                  <w:r w:rsidRPr="009E5DD3">
                    <w:rPr>
                      <w:rFonts w:cs="Arial"/>
                    </w:rPr>
                    <w:t xml:space="preserve">14. Law and public policy are created and implemented by three branches of government; each functions with its own set of powers and responsibilities. </w:t>
                  </w:r>
                </w:p>
                <w:p w:rsidR="003C117E" w:rsidRPr="009E5DD3" w:rsidRDefault="003C117E" w:rsidP="009E5DD3">
                  <w:pPr>
                    <w:spacing w:line="240" w:lineRule="auto"/>
                    <w:ind w:left="720"/>
                    <w:rPr>
                      <w:rFonts w:cs="Arial"/>
                    </w:rPr>
                  </w:pPr>
                  <w:r w:rsidRPr="009E5DD3">
                    <w:rPr>
                      <w:rFonts w:cs="Arial"/>
                    </w:rPr>
                    <w:t>15. The political process creates a dynamic interaction among the three branches of government in addressing current issues.</w:t>
                  </w:r>
                </w:p>
                <w:p w:rsidR="003C117E" w:rsidRPr="009E5DD3" w:rsidRDefault="003C117E" w:rsidP="009E5DD3">
                  <w:pPr>
                    <w:pStyle w:val="ListParagraph"/>
                    <w:numPr>
                      <w:ilvl w:val="0"/>
                      <w:numId w:val="7"/>
                    </w:numPr>
                    <w:spacing w:line="240" w:lineRule="auto"/>
                    <w:rPr>
                      <w:rFonts w:cs="Arial"/>
                    </w:rPr>
                  </w:pPr>
                  <w:r w:rsidRPr="009E5DD3">
                    <w:rPr>
                      <w:rFonts w:cs="Arial"/>
                    </w:rPr>
                    <w:t>TOPIC: ROLE OF THE PEOPLE</w:t>
                  </w:r>
                </w:p>
                <w:p w:rsidR="003C117E" w:rsidRPr="009E5DD3" w:rsidRDefault="003C117E" w:rsidP="009E5DD3">
                  <w:pPr>
                    <w:spacing w:line="240" w:lineRule="auto"/>
                    <w:ind w:left="720"/>
                    <w:rPr>
                      <w:rFonts w:cs="Arial"/>
                    </w:rPr>
                  </w:pPr>
                  <w:r w:rsidRPr="009E5DD3">
                    <w:rPr>
                      <w:rFonts w:cs="Arial"/>
                    </w:rPr>
                    <w:t xml:space="preserve">16. In the United States, people have rights which protect them from undue governmental interference. Rights carry responsibilities which help define how people use their rights and which require respect for the rights of others. </w:t>
                  </w:r>
                </w:p>
                <w:p w:rsidR="003C117E" w:rsidRPr="009E5DD3" w:rsidRDefault="003C117E" w:rsidP="009E5DD3">
                  <w:pPr>
                    <w:spacing w:line="240" w:lineRule="auto"/>
                    <w:ind w:left="720"/>
                    <w:rPr>
                      <w:rFonts w:cs="Arial"/>
                    </w:rPr>
                  </w:pPr>
                  <w:r w:rsidRPr="009E5DD3">
                    <w:rPr>
                      <w:rFonts w:cs="Arial"/>
                    </w:rPr>
                    <w:t>17. Historically, the United States has struggled with majority rule and the extension of minority rights. As a result of this struggle, the government has increasingly extended civil rights to marginalized groups and broadened opportunities for participation.</w:t>
                  </w:r>
                </w:p>
                <w:p w:rsidR="003C117E" w:rsidRPr="009E5DD3" w:rsidRDefault="003C117E" w:rsidP="009E5DD3">
                  <w:pPr>
                    <w:pStyle w:val="ListParagraph"/>
                    <w:numPr>
                      <w:ilvl w:val="0"/>
                      <w:numId w:val="7"/>
                    </w:numPr>
                    <w:spacing w:line="240" w:lineRule="auto"/>
                    <w:rPr>
                      <w:rFonts w:cs="Arial"/>
                    </w:rPr>
                  </w:pPr>
                  <w:r w:rsidRPr="009E5DD3">
                    <w:rPr>
                      <w:rFonts w:cs="Arial"/>
                    </w:rPr>
                    <w:t>TOPIC: OHIO’S STATE AND LOCAL GOVERNMENTS</w:t>
                  </w:r>
                </w:p>
                <w:p w:rsidR="003C117E" w:rsidRPr="009E5DD3" w:rsidRDefault="003C117E" w:rsidP="009E5DD3">
                  <w:pPr>
                    <w:spacing w:line="240" w:lineRule="auto"/>
                    <w:ind w:firstLine="720"/>
                    <w:rPr>
                      <w:rFonts w:cs="Arial"/>
                    </w:rPr>
                  </w:pPr>
                  <w:r w:rsidRPr="009E5DD3">
                    <w:rPr>
                      <w:rFonts w:cs="Arial"/>
                    </w:rPr>
                    <w:t>18. The Ohio Constitution was drafted in 1851 to address difficulties in governing the state of Ohio.</w:t>
                  </w:r>
                </w:p>
                <w:p w:rsidR="003C117E" w:rsidRPr="009E5DD3" w:rsidRDefault="003C117E" w:rsidP="009E5DD3">
                  <w:pPr>
                    <w:spacing w:line="240" w:lineRule="auto"/>
                    <w:ind w:left="720"/>
                    <w:rPr>
                      <w:rFonts w:cs="Arial"/>
                    </w:rPr>
                  </w:pPr>
                  <w:r w:rsidRPr="009E5DD3">
                    <w:rPr>
                      <w:rFonts w:cs="Arial"/>
                    </w:rPr>
                    <w:t>19. As a framework for the state, the Ohio Constitution complements the federal structure of government in the United States.</w:t>
                  </w:r>
                </w:p>
                <w:p w:rsidR="003C117E" w:rsidRPr="009E5DD3" w:rsidRDefault="003C117E" w:rsidP="009E5DD3">
                  <w:pPr>
                    <w:spacing w:line="240" w:lineRule="auto"/>
                    <w:ind w:left="720" w:firstLine="30"/>
                    <w:rPr>
                      <w:rFonts w:cs="Arial"/>
                    </w:rPr>
                  </w:pPr>
                  <w:r w:rsidRPr="009E5DD3">
                    <w:rPr>
                      <w:rFonts w:cs="Arial"/>
                    </w:rPr>
                    <w:t>20. Individuals in Ohio have a responsibility to assist state and local governments as they address relevant and often controversial problems that directly affect their communities.</w:t>
                  </w:r>
                </w:p>
                <w:p w:rsidR="003C117E" w:rsidRPr="009E5DD3" w:rsidRDefault="003C117E" w:rsidP="009E5DD3">
                  <w:pPr>
                    <w:pStyle w:val="ListParagraph"/>
                    <w:numPr>
                      <w:ilvl w:val="0"/>
                      <w:numId w:val="7"/>
                    </w:numPr>
                    <w:spacing w:line="240" w:lineRule="auto"/>
                    <w:rPr>
                      <w:rFonts w:cs="Arial"/>
                    </w:rPr>
                  </w:pPr>
                  <w:r w:rsidRPr="009E5DD3">
                    <w:rPr>
                      <w:rFonts w:cs="Arial"/>
                    </w:rPr>
                    <w:t>TOPIC: PUBLIC POLICY</w:t>
                  </w:r>
                </w:p>
                <w:p w:rsidR="003C117E" w:rsidRPr="009E5DD3" w:rsidRDefault="003C117E" w:rsidP="009E5DD3">
                  <w:pPr>
                    <w:spacing w:line="240" w:lineRule="auto"/>
                    <w:ind w:left="720"/>
                    <w:rPr>
                      <w:rFonts w:cs="Arial"/>
                    </w:rPr>
                  </w:pPr>
                  <w:r w:rsidRPr="009E5DD3">
                    <w:rPr>
                      <w:rFonts w:cs="Arial"/>
                    </w:rPr>
                    <w:t>21. A variety of entities within the three branches of government, at all levels, address public policy issues which arise in domestic and international affairs.</w:t>
                  </w:r>
                </w:p>
                <w:p w:rsidR="003C117E" w:rsidRPr="009E5DD3" w:rsidRDefault="003C117E" w:rsidP="009E5DD3">
                  <w:pPr>
                    <w:spacing w:line="240" w:lineRule="auto"/>
                    <w:ind w:left="720"/>
                    <w:rPr>
                      <w:rFonts w:cs="Arial"/>
                    </w:rPr>
                  </w:pPr>
                  <w:r w:rsidRPr="009E5DD3">
                    <w:rPr>
                      <w:rFonts w:cs="Arial"/>
                    </w:rPr>
                    <w:t>22. Individuals and organizations play a role within federal, state and local governments in helping to determine public (domestic and foreign) policy.</w:t>
                  </w:r>
                </w:p>
                <w:p w:rsidR="003C117E" w:rsidRPr="009E5DD3" w:rsidRDefault="003C117E" w:rsidP="009E5DD3">
                  <w:pPr>
                    <w:pStyle w:val="ListParagraph"/>
                    <w:numPr>
                      <w:ilvl w:val="0"/>
                      <w:numId w:val="7"/>
                    </w:numPr>
                    <w:spacing w:line="240" w:lineRule="auto"/>
                    <w:rPr>
                      <w:rFonts w:cs="Arial"/>
                    </w:rPr>
                  </w:pPr>
                  <w:r w:rsidRPr="009E5DD3">
                    <w:rPr>
                      <w:rFonts w:cs="Arial"/>
                    </w:rPr>
                    <w:t>TOPIC: GOVERNMENT AND THE ECONOMY</w:t>
                  </w:r>
                </w:p>
                <w:p w:rsidR="003C117E" w:rsidRPr="009E5DD3" w:rsidRDefault="003C117E" w:rsidP="009E5DD3">
                  <w:pPr>
                    <w:spacing w:line="240" w:lineRule="auto"/>
                    <w:ind w:left="720"/>
                    <w:rPr>
                      <w:rFonts w:cs="Arial"/>
                    </w:rPr>
                  </w:pPr>
                  <w:r w:rsidRPr="009E5DD3">
                    <w:rPr>
                      <w:rFonts w:cs="Arial"/>
                    </w:rPr>
                    <w:t xml:space="preserve">23. The federal government uses spending and tax policy to maintain economic stability and foster economic growth. Regulatory actions carry economic costs and benefits. </w:t>
                  </w:r>
                </w:p>
                <w:p w:rsidR="003C117E" w:rsidRPr="009E5DD3" w:rsidRDefault="003C117E" w:rsidP="009E5DD3">
                  <w:pPr>
                    <w:spacing w:line="240" w:lineRule="auto"/>
                    <w:ind w:left="720"/>
                    <w:rPr>
                      <w:rFonts w:cs="Arial"/>
                    </w:rPr>
                  </w:pPr>
                  <w:r w:rsidRPr="009E5DD3">
                    <w:rPr>
                      <w:rFonts w:cs="Arial"/>
                    </w:rPr>
                    <w:t>24. The Federal Reserve System uses monetary tools to regulate the nation’s money supply and moderate the effects of expansion and contraction in the economy.</w:t>
                  </w:r>
                </w:p>
                <w:p w:rsidR="003C117E" w:rsidRPr="006B4334" w:rsidRDefault="003C117E"/>
              </w:txbxContent>
            </v:textbox>
          </v:shape>
        </w:pict>
      </w:r>
    </w:p>
    <w:sectPr w:rsidR="003C117E" w:rsidSect="00391F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0CF1"/>
    <w:multiLevelType w:val="hybridMultilevel"/>
    <w:tmpl w:val="3126EDC8"/>
    <w:lvl w:ilvl="0" w:tplc="5F2A5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D51E3"/>
    <w:multiLevelType w:val="hybridMultilevel"/>
    <w:tmpl w:val="1FE86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435F"/>
    <w:multiLevelType w:val="hybridMultilevel"/>
    <w:tmpl w:val="2B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6C44"/>
    <w:multiLevelType w:val="hybridMultilevel"/>
    <w:tmpl w:val="41D04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62379"/>
    <w:multiLevelType w:val="hybridMultilevel"/>
    <w:tmpl w:val="271602E8"/>
    <w:lvl w:ilvl="0" w:tplc="59D24234">
      <w:start w:val="2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71FC2FF4"/>
    <w:multiLevelType w:val="hybridMultilevel"/>
    <w:tmpl w:val="8410F7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B60D8"/>
    <w:multiLevelType w:val="hybridMultilevel"/>
    <w:tmpl w:val="52B66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B12CF"/>
    <w:rsid w:val="00117ED1"/>
    <w:rsid w:val="00391F01"/>
    <w:rsid w:val="003C117E"/>
    <w:rsid w:val="006754C2"/>
    <w:rsid w:val="007C2939"/>
    <w:rsid w:val="009E5DD3"/>
    <w:rsid w:val="00A064BA"/>
    <w:rsid w:val="00C813F4"/>
    <w:rsid w:val="00CB12CF"/>
    <w:rsid w:val="00CE44A6"/>
    <w:rsid w:val="00DC430D"/>
    <w:rsid w:val="00F71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2CF"/>
    <w:pPr>
      <w:ind w:left="720"/>
      <w:contextualSpacing/>
    </w:pPr>
  </w:style>
  <w:style w:type="paragraph" w:customStyle="1" w:styleId="Default">
    <w:name w:val="Default"/>
    <w:rsid w:val="00C813F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1Mount Vernon City Schools</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jfranz</dc:creator>
  <cp:lastModifiedBy>jfranz</cp:lastModifiedBy>
  <cp:revision>3</cp:revision>
  <dcterms:created xsi:type="dcterms:W3CDTF">2017-08-14T21:19:00Z</dcterms:created>
  <dcterms:modified xsi:type="dcterms:W3CDTF">2017-08-16T16:53:00Z</dcterms:modified>
</cp:coreProperties>
</file>